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5AB970">
      <w:pPr>
        <w:spacing w:line="600" w:lineRule="exact"/>
        <w:jc w:val="center"/>
        <w:rPr>
          <w:rFonts w:hint="eastAsia" w:ascii="黑体" w:hAnsi="黑体" w:eastAsia="黑体" w:cs="黑体"/>
          <w:b/>
          <w:sz w:val="36"/>
          <w:szCs w:val="36"/>
        </w:rPr>
      </w:pPr>
      <w:r>
        <w:rPr>
          <w:rFonts w:hint="eastAsia" w:ascii="黑体" w:hAnsi="黑体" w:eastAsia="黑体" w:cs="黑体"/>
          <w:b/>
          <w:sz w:val="36"/>
          <w:szCs w:val="36"/>
          <w:lang w:eastAsia="zh-CN"/>
        </w:rPr>
        <w:t>2024年度发改局项目支出绩效自评报告</w:t>
      </w:r>
    </w:p>
    <w:p w14:paraId="26220AD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center"/>
        <w:textAlignment w:val="bottom"/>
        <w:rPr>
          <w:rFonts w:hint="eastAsia" w:ascii="仿宋_GB2312" w:eastAsia="仿宋_GB2312"/>
          <w:kern w:val="0"/>
          <w:sz w:val="32"/>
          <w:szCs w:val="32"/>
          <w:lang w:eastAsia="zh-CN"/>
        </w:rPr>
      </w:pPr>
      <w:r>
        <w:rPr>
          <w:rFonts w:hint="eastAsia" w:ascii="仿宋_GB2312" w:eastAsia="仿宋_GB2312"/>
          <w:kern w:val="0"/>
          <w:sz w:val="32"/>
          <w:szCs w:val="32"/>
          <w:lang w:eastAsia="zh-CN"/>
        </w:rPr>
        <w:t>（县级成品粮费用）</w:t>
      </w:r>
    </w:p>
    <w:p w14:paraId="16B0AE5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eastAsia" w:ascii="仿宋_GB2312" w:eastAsia="仿宋_GB2312"/>
          <w:kern w:val="0"/>
          <w:sz w:val="32"/>
          <w:szCs w:val="32"/>
          <w:lang w:eastAsia="zh-CN"/>
        </w:rPr>
        <w:t>为进一步规范资金管理，强化部门支出责任意识，提高财政资源配置效率和使用效益，根据《新晃侗族自治县财政局关于开展</w:t>
      </w:r>
      <w:r>
        <w:rPr>
          <w:rFonts w:hint="eastAsia" w:ascii="仿宋_GB2312" w:eastAsia="仿宋_GB2312"/>
          <w:kern w:val="0"/>
          <w:sz w:val="32"/>
          <w:szCs w:val="32"/>
          <w:lang w:val="en-US" w:eastAsia="zh-CN"/>
        </w:rPr>
        <w:t>2024年度部门预算支出绩效自评工作的通知</w:t>
      </w:r>
      <w:r>
        <w:rPr>
          <w:rFonts w:hint="eastAsia" w:ascii="仿宋_GB2312" w:eastAsia="仿宋_GB2312"/>
          <w:kern w:val="0"/>
          <w:sz w:val="32"/>
          <w:szCs w:val="32"/>
          <w:lang w:eastAsia="zh-CN"/>
        </w:rPr>
        <w:t>》（晃财绩</w:t>
      </w:r>
      <w:r>
        <w:rPr>
          <w:rFonts w:hint="default" w:ascii="仿宋_GB2312" w:eastAsia="仿宋_GB2312"/>
          <w:kern w:val="0"/>
          <w:sz w:val="32"/>
          <w:szCs w:val="32"/>
          <w:lang w:eastAsia="zh-CN"/>
        </w:rPr>
        <w:t>〔202</w:t>
      </w:r>
      <w:r>
        <w:rPr>
          <w:rFonts w:hint="eastAsia" w:ascii="仿宋_GB2312" w:eastAsia="仿宋_GB2312"/>
          <w:kern w:val="0"/>
          <w:sz w:val="32"/>
          <w:szCs w:val="32"/>
          <w:lang w:val="en-US" w:eastAsia="zh-CN"/>
        </w:rPr>
        <w:t>3</w:t>
      </w:r>
      <w:r>
        <w:rPr>
          <w:rFonts w:hint="default" w:ascii="仿宋_GB2312" w:eastAsia="仿宋_GB2312"/>
          <w:kern w:val="0"/>
          <w:sz w:val="32"/>
          <w:szCs w:val="32"/>
          <w:lang w:eastAsia="zh-CN"/>
        </w:rPr>
        <w:t>〕</w:t>
      </w:r>
      <w:r>
        <w:rPr>
          <w:rFonts w:hint="eastAsia" w:ascii="仿宋_GB2312" w:eastAsia="仿宋_GB2312"/>
          <w:kern w:val="0"/>
          <w:sz w:val="32"/>
          <w:szCs w:val="32"/>
          <w:lang w:val="en-US" w:eastAsia="zh-CN"/>
        </w:rPr>
        <w:t>24</w:t>
      </w:r>
      <w:r>
        <w:rPr>
          <w:rFonts w:hint="default" w:ascii="仿宋_GB2312" w:eastAsia="仿宋_GB2312"/>
          <w:kern w:val="0"/>
          <w:sz w:val="32"/>
          <w:szCs w:val="32"/>
          <w:lang w:eastAsia="zh-CN"/>
        </w:rPr>
        <w:t>号）</w:t>
      </w:r>
      <w:r>
        <w:rPr>
          <w:rFonts w:hint="eastAsia" w:ascii="仿宋_GB2312" w:eastAsia="仿宋_GB2312"/>
          <w:kern w:val="0"/>
          <w:sz w:val="32"/>
          <w:szCs w:val="32"/>
          <w:lang w:eastAsia="zh-CN"/>
        </w:rPr>
        <w:t>文件要求，我单位认真开展预算支出绩效自评工作。现将自评情况报告如下：</w:t>
      </w:r>
    </w:p>
    <w:p w14:paraId="430E49A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一、项目</w:t>
      </w:r>
      <w:r>
        <w:rPr>
          <w:rFonts w:hint="eastAsia" w:asciiTheme="minorEastAsia" w:hAnsiTheme="minorEastAsia" w:eastAsiaTheme="minorEastAsia" w:cstheme="minorEastAsia"/>
          <w:b/>
          <w:bCs/>
          <w:sz w:val="28"/>
          <w:szCs w:val="28"/>
          <w:lang w:eastAsia="zh-CN"/>
        </w:rPr>
        <w:t>支出</w:t>
      </w:r>
      <w:r>
        <w:rPr>
          <w:rFonts w:hint="eastAsia" w:asciiTheme="minorEastAsia" w:hAnsiTheme="minorEastAsia" w:eastAsiaTheme="minorEastAsia" w:cstheme="minorEastAsia"/>
          <w:b/>
          <w:bCs/>
          <w:sz w:val="28"/>
          <w:szCs w:val="28"/>
        </w:rPr>
        <w:t>基本情况</w:t>
      </w:r>
    </w:p>
    <w:p w14:paraId="6797762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eastAsia="zh-CN"/>
        </w:rPr>
      </w:pPr>
      <w:r>
        <w:rPr>
          <w:rFonts w:hint="eastAsia" w:ascii="仿宋_GB2312" w:eastAsia="仿宋_GB2312"/>
          <w:kern w:val="0"/>
          <w:sz w:val="32"/>
          <w:szCs w:val="32"/>
          <w:lang w:eastAsia="zh-CN"/>
        </w:rPr>
        <w:t>（一）项目概况</w:t>
      </w:r>
    </w:p>
    <w:p w14:paraId="2C2BF17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eastAsia="zh-CN"/>
        </w:rPr>
        <w:t>县级成品粮费用预算资金</w:t>
      </w:r>
      <w:r>
        <w:rPr>
          <w:rFonts w:hint="eastAsia" w:ascii="仿宋_GB2312" w:eastAsia="仿宋_GB2312"/>
          <w:kern w:val="0"/>
          <w:sz w:val="32"/>
          <w:szCs w:val="32"/>
          <w:lang w:val="en-US" w:eastAsia="zh-CN"/>
        </w:rPr>
        <w:t>27.2</w:t>
      </w:r>
      <w:r>
        <w:rPr>
          <w:rFonts w:hint="eastAsia" w:ascii="仿宋_GB2312" w:eastAsia="仿宋_GB2312"/>
          <w:kern w:val="0"/>
          <w:sz w:val="32"/>
          <w:szCs w:val="32"/>
          <w:lang w:eastAsia="zh-CN"/>
        </w:rPr>
        <w:t>万元。截至</w:t>
      </w:r>
      <w:r>
        <w:rPr>
          <w:rFonts w:hint="eastAsia" w:ascii="仿宋_GB2312" w:eastAsia="仿宋_GB2312"/>
          <w:kern w:val="0"/>
          <w:sz w:val="32"/>
          <w:szCs w:val="32"/>
          <w:lang w:val="en-US" w:eastAsia="zh-CN"/>
        </w:rPr>
        <w:t>2024年末</w:t>
      </w:r>
      <w:r>
        <w:rPr>
          <w:rFonts w:hint="eastAsia" w:ascii="仿宋_GB2312" w:eastAsia="仿宋_GB2312"/>
          <w:kern w:val="0"/>
          <w:sz w:val="32"/>
          <w:szCs w:val="32"/>
          <w:lang w:eastAsia="zh-CN"/>
        </w:rPr>
        <w:t>实际支出</w:t>
      </w:r>
      <w:r>
        <w:rPr>
          <w:rFonts w:hint="eastAsia" w:ascii="仿宋_GB2312" w:hAnsi="宋体" w:eastAsia="仿宋_GB2312" w:cs="宋体"/>
          <w:kern w:val="0"/>
          <w:sz w:val="32"/>
          <w:szCs w:val="32"/>
          <w:lang w:val="en-US" w:eastAsia="zh-CN"/>
        </w:rPr>
        <w:t>27.2</w:t>
      </w:r>
      <w:r>
        <w:rPr>
          <w:rFonts w:hint="eastAsia" w:ascii="仿宋_GB2312" w:eastAsia="仿宋_GB2312"/>
          <w:kern w:val="0"/>
          <w:sz w:val="32"/>
          <w:szCs w:val="32"/>
          <w:lang w:val="en-US" w:eastAsia="zh-CN"/>
        </w:rPr>
        <w:t>万元</w:t>
      </w:r>
      <w:r>
        <w:rPr>
          <w:rFonts w:hint="eastAsia" w:ascii="仿宋_GB2312" w:eastAsia="仿宋_GB2312"/>
          <w:kern w:val="0"/>
          <w:sz w:val="32"/>
          <w:szCs w:val="32"/>
          <w:lang w:eastAsia="zh-CN"/>
        </w:rPr>
        <w:t>。</w:t>
      </w:r>
    </w:p>
    <w:p w14:paraId="449C45A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（二）项目绩效目标</w:t>
      </w:r>
    </w:p>
    <w:p w14:paraId="7301CA7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color w:val="auto"/>
          <w:kern w:val="0"/>
          <w:sz w:val="32"/>
          <w:szCs w:val="32"/>
          <w:lang w:eastAsia="zh-CN"/>
        </w:rPr>
      </w:pPr>
      <w:r>
        <w:rPr>
          <w:rFonts w:hint="eastAsia" w:ascii="仿宋_GB2312" w:eastAsia="仿宋_GB2312"/>
          <w:kern w:val="0"/>
          <w:sz w:val="32"/>
          <w:szCs w:val="32"/>
          <w:lang w:eastAsia="zh-CN"/>
        </w:rPr>
        <w:t xml:space="preserve"> </w:t>
      </w:r>
      <w:r>
        <w:rPr>
          <w:rFonts w:hint="eastAsia" w:ascii="仿宋_GB2312" w:eastAsia="仿宋_GB2312"/>
          <w:color w:val="auto"/>
          <w:kern w:val="0"/>
          <w:sz w:val="32"/>
          <w:szCs w:val="32"/>
          <w:lang w:eastAsia="zh-CN"/>
        </w:rPr>
        <w:t>落实国家粮食安全政策，做好粮食物资储备和供应，确保粮食市场供应基本稳定；</w:t>
      </w:r>
      <w:r>
        <w:rPr>
          <w:rFonts w:hint="eastAsia" w:ascii="仿宋_GB2312" w:eastAsia="仿宋_GB2312"/>
          <w:kern w:val="0"/>
          <w:sz w:val="32"/>
          <w:szCs w:val="32"/>
          <w:lang w:eastAsia="zh-CN"/>
        </w:rPr>
        <w:t>成品粮</w:t>
      </w:r>
      <w:r>
        <w:rPr>
          <w:rFonts w:hint="eastAsia" w:ascii="仿宋_GB2312" w:eastAsia="仿宋_GB2312"/>
          <w:color w:val="auto"/>
          <w:kern w:val="0"/>
          <w:sz w:val="32"/>
          <w:szCs w:val="32"/>
          <w:lang w:eastAsia="zh-CN"/>
        </w:rPr>
        <w:t>专仓存放，定期轮换，保障粮食安全。</w:t>
      </w:r>
    </w:p>
    <w:p w14:paraId="7F1A9D34">
      <w:pPr>
        <w:keepNext w:val="0"/>
        <w:keepLines w:val="0"/>
        <w:pageBreakBefore w:val="0"/>
        <w:widowControl w:val="0"/>
        <w:tabs>
          <w:tab w:val="left" w:pos="840"/>
        </w:tabs>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二、绩效评价工作开展情况</w:t>
      </w:r>
    </w:p>
    <w:p w14:paraId="62B3131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（一）绩效评价目的、对象和范围。</w:t>
      </w:r>
    </w:p>
    <w:p w14:paraId="64E0BD1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绩效评价目的是为进一步规范</w:t>
      </w:r>
      <w:r>
        <w:rPr>
          <w:rFonts w:hint="eastAsia" w:ascii="仿宋_GB2312" w:eastAsia="仿宋_GB2312"/>
          <w:kern w:val="0"/>
          <w:sz w:val="32"/>
          <w:szCs w:val="32"/>
          <w:lang w:val="en-US" w:eastAsia="zh-CN"/>
        </w:rPr>
        <w:t>项目</w:t>
      </w:r>
      <w:r>
        <w:rPr>
          <w:rFonts w:hint="default" w:ascii="仿宋_GB2312" w:eastAsia="仿宋_GB2312"/>
          <w:kern w:val="0"/>
          <w:sz w:val="32"/>
          <w:szCs w:val="32"/>
          <w:lang w:val="en-US" w:eastAsia="zh-CN"/>
        </w:rPr>
        <w:t>资金管理，强化绩效和责任意识，切实提高</w:t>
      </w:r>
      <w:r>
        <w:rPr>
          <w:rFonts w:hint="eastAsia" w:ascii="仿宋_GB2312" w:eastAsia="仿宋_GB2312"/>
          <w:kern w:val="0"/>
          <w:sz w:val="32"/>
          <w:szCs w:val="32"/>
          <w:lang w:val="en-US" w:eastAsia="zh-CN"/>
        </w:rPr>
        <w:t>项目</w:t>
      </w:r>
      <w:r>
        <w:rPr>
          <w:rFonts w:hint="default" w:ascii="仿宋_GB2312" w:eastAsia="仿宋_GB2312"/>
          <w:kern w:val="0"/>
          <w:sz w:val="32"/>
          <w:szCs w:val="32"/>
          <w:lang w:val="en-US" w:eastAsia="zh-CN"/>
        </w:rPr>
        <w:t>资金使用效益。评价对象</w:t>
      </w:r>
      <w:r>
        <w:rPr>
          <w:rFonts w:hint="eastAsia" w:ascii="仿宋_GB2312" w:eastAsia="仿宋_GB2312"/>
          <w:kern w:val="0"/>
          <w:sz w:val="32"/>
          <w:szCs w:val="32"/>
          <w:lang w:val="en-US" w:eastAsia="zh-CN"/>
        </w:rPr>
        <w:t>及范围</w:t>
      </w:r>
      <w:r>
        <w:rPr>
          <w:rFonts w:hint="default" w:ascii="仿宋_GB2312" w:eastAsia="仿宋_GB2312"/>
          <w:kern w:val="0"/>
          <w:sz w:val="32"/>
          <w:szCs w:val="32"/>
          <w:lang w:val="en-US" w:eastAsia="zh-CN"/>
        </w:rPr>
        <w:t>为</w:t>
      </w:r>
      <w:r>
        <w:rPr>
          <w:rFonts w:hint="eastAsia" w:ascii="仿宋_GB2312" w:eastAsia="仿宋_GB2312"/>
          <w:kern w:val="0"/>
          <w:sz w:val="32"/>
          <w:szCs w:val="32"/>
          <w:lang w:eastAsia="zh-CN"/>
        </w:rPr>
        <w:t>县级储备粮费用</w:t>
      </w:r>
      <w:r>
        <w:rPr>
          <w:rFonts w:hint="default" w:ascii="仿宋_GB2312" w:eastAsia="仿宋_GB2312"/>
          <w:kern w:val="0"/>
          <w:sz w:val="32"/>
          <w:szCs w:val="32"/>
          <w:lang w:val="en-US" w:eastAsia="zh-CN"/>
        </w:rPr>
        <w:t>。</w:t>
      </w:r>
    </w:p>
    <w:p w14:paraId="638F636F">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（二）绩效评价原则、评价指标体系（附表说明）、评价方法、评价标准等。</w:t>
      </w:r>
    </w:p>
    <w:p w14:paraId="61B7DB2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14:paraId="294D2E7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（三）绩效评价工作过程。</w:t>
      </w:r>
    </w:p>
    <w:p w14:paraId="216374F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根据《湖南省预算支出绩效评价管理办法》（湘财绩〔2020〕7号）和《新晃侗族自治县财政局关于开展</w:t>
      </w:r>
      <w:r>
        <w:rPr>
          <w:rFonts w:hint="eastAsia" w:ascii="仿宋_GB2312" w:eastAsia="仿宋_GB2312"/>
          <w:kern w:val="0"/>
          <w:sz w:val="32"/>
          <w:szCs w:val="32"/>
          <w:lang w:val="en-US" w:eastAsia="zh-CN"/>
        </w:rPr>
        <w:t>2024年</w:t>
      </w:r>
      <w:r>
        <w:rPr>
          <w:rFonts w:hint="default" w:ascii="仿宋_GB2312" w:eastAsia="仿宋_GB2312"/>
          <w:kern w:val="0"/>
          <w:sz w:val="32"/>
          <w:szCs w:val="32"/>
          <w:lang w:val="en-US" w:eastAsia="zh-CN"/>
        </w:rPr>
        <w:t>度部门预算支出绩效自评工作的通知》（晃财绩〔2023〕24号）等文件要求，我单位绩效自评工作小组对</w:t>
      </w:r>
      <w:r>
        <w:rPr>
          <w:rFonts w:hint="eastAsia" w:ascii="仿宋_GB2312" w:eastAsia="仿宋_GB2312"/>
          <w:kern w:val="0"/>
          <w:sz w:val="32"/>
          <w:szCs w:val="32"/>
          <w:lang w:eastAsia="zh-CN"/>
        </w:rPr>
        <w:t>县级成品粮费用</w:t>
      </w:r>
      <w:r>
        <w:rPr>
          <w:rFonts w:hint="default" w:ascii="仿宋_GB2312" w:eastAsia="仿宋_GB2312"/>
          <w:kern w:val="0"/>
          <w:sz w:val="32"/>
          <w:szCs w:val="32"/>
          <w:lang w:val="en-US" w:eastAsia="zh-CN"/>
        </w:rPr>
        <w:t>项目支出开展了绩效自评工作。组织人员收集项目资料，检查会计凭证，在规定的时间内，对项目的实施过程进行了全面、科学、细致的评价。</w:t>
      </w:r>
    </w:p>
    <w:p w14:paraId="1D98C977">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三、综合评价情况及评价结论（附相关评分表）</w:t>
      </w:r>
    </w:p>
    <w:p w14:paraId="03E7498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本次自评，对照项目绩效目标，从项目预算编制、项目组织管理、资金使用、项目产出、项目效益、满意度等方面逐一分析评价，总体自评得分</w:t>
      </w:r>
      <w:r>
        <w:rPr>
          <w:rFonts w:hint="eastAsia" w:ascii="仿宋_GB2312" w:eastAsia="仿宋_GB2312"/>
          <w:kern w:val="0"/>
          <w:sz w:val="32"/>
          <w:szCs w:val="32"/>
          <w:lang w:val="en-US" w:eastAsia="zh-CN"/>
        </w:rPr>
        <w:t>100</w:t>
      </w:r>
      <w:r>
        <w:rPr>
          <w:rFonts w:hint="default" w:ascii="仿宋_GB2312" w:eastAsia="仿宋_GB2312"/>
          <w:kern w:val="0"/>
          <w:sz w:val="32"/>
          <w:szCs w:val="32"/>
          <w:lang w:val="en-US" w:eastAsia="zh-CN"/>
        </w:rPr>
        <w:t>分，绩效评价等级为“优”。</w:t>
      </w:r>
    </w:p>
    <w:p w14:paraId="5015F32C">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sz w:val="28"/>
          <w:szCs w:val="28"/>
          <w:lang w:eastAsia="zh-CN"/>
        </w:rPr>
      </w:pPr>
      <w:r>
        <w:rPr>
          <w:rFonts w:hint="eastAsia" w:asciiTheme="minorEastAsia" w:hAnsiTheme="minorEastAsia" w:eastAsiaTheme="minorEastAsia" w:cstheme="minorEastAsia"/>
          <w:b/>
          <w:sz w:val="28"/>
          <w:szCs w:val="28"/>
        </w:rPr>
        <w:t>绩效及评价</w:t>
      </w:r>
      <w:r>
        <w:rPr>
          <w:rFonts w:hint="eastAsia" w:asciiTheme="minorEastAsia" w:hAnsiTheme="minorEastAsia" w:eastAsiaTheme="minorEastAsia" w:cstheme="minorEastAsia"/>
          <w:b/>
          <w:sz w:val="28"/>
          <w:szCs w:val="28"/>
          <w:lang w:eastAsia="zh-CN"/>
        </w:rPr>
        <w:t>指标分析</w:t>
      </w:r>
    </w:p>
    <w:p w14:paraId="7B4DCBEC">
      <w:pPr>
        <w:keepNext w:val="0"/>
        <w:keepLines w:val="0"/>
        <w:pageBreakBefore w:val="0"/>
        <w:numPr>
          <w:ilvl w:val="0"/>
          <w:numId w:val="2"/>
        </w:numPr>
        <w:kinsoku/>
        <w:wordWrap/>
        <w:overflowPunct/>
        <w:topLinePunct w:val="0"/>
        <w:autoSpaceDE/>
        <w:autoSpaceDN/>
        <w:bidi w:val="0"/>
        <w:adjustRightInd/>
        <w:snapToGrid/>
        <w:spacing w:before="74" w:line="620" w:lineRule="exact"/>
        <w:ind w:left="194"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项目决策情况。</w:t>
      </w:r>
    </w:p>
    <w:p w14:paraId="5E9A0F1D">
      <w:pPr>
        <w:keepNext w:val="0"/>
        <w:keepLines w:val="0"/>
        <w:pageBreakBefore w:val="0"/>
        <w:numPr>
          <w:ilvl w:val="0"/>
          <w:numId w:val="0"/>
        </w:numPr>
        <w:kinsoku/>
        <w:wordWrap/>
        <w:overflowPunct/>
        <w:topLinePunct w:val="0"/>
        <w:autoSpaceDE/>
        <w:autoSpaceDN/>
        <w:bidi w:val="0"/>
        <w:adjustRightInd/>
        <w:snapToGrid/>
        <w:spacing w:before="74" w:line="620" w:lineRule="exact"/>
        <w:ind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县级成品粮代储项目</w:t>
      </w:r>
      <w:r>
        <w:rPr>
          <w:rFonts w:hint="eastAsia" w:ascii="仿宋_GB2312" w:hAnsi="宋体" w:eastAsia="仿宋_GB2312" w:cs="宋体"/>
          <w:kern w:val="0"/>
          <w:sz w:val="32"/>
          <w:szCs w:val="32"/>
        </w:rPr>
        <w:t>根据《</w:t>
      </w:r>
      <w:r>
        <w:rPr>
          <w:rFonts w:hint="eastAsia" w:ascii="仿宋_GB2312" w:hAnsi="宋体" w:eastAsia="仿宋_GB2312" w:cs="宋体"/>
          <w:kern w:val="0"/>
          <w:sz w:val="32"/>
          <w:szCs w:val="32"/>
          <w:lang w:eastAsia="zh-CN"/>
        </w:rPr>
        <w:t>新晃侗族自治县人民代表大会常务委员会文件</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关于进一步明确县级粮食储备经费预算〉的通知》（晃人常发〔</w:t>
      </w:r>
      <w:r>
        <w:rPr>
          <w:rFonts w:hint="eastAsia" w:ascii="仿宋_GB2312" w:hAnsi="宋体" w:eastAsia="仿宋_GB2312" w:cs="宋体"/>
          <w:kern w:val="0"/>
          <w:sz w:val="32"/>
          <w:szCs w:val="32"/>
          <w:lang w:val="en-US" w:eastAsia="zh-CN"/>
        </w:rPr>
        <w:t>2010</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lang w:eastAsia="zh-CN"/>
        </w:rPr>
        <w:t>号）</w:t>
      </w:r>
      <w:r>
        <w:rPr>
          <w:rFonts w:hint="eastAsia" w:ascii="仿宋_GB2312" w:hAnsi="宋体" w:eastAsia="仿宋_GB2312" w:cs="宋体"/>
          <w:kern w:val="0"/>
          <w:sz w:val="32"/>
          <w:szCs w:val="32"/>
          <w:lang w:val="en-US" w:eastAsia="zh-CN"/>
        </w:rPr>
        <w:t>以及</w:t>
      </w:r>
      <w:r>
        <w:rPr>
          <w:rFonts w:hint="eastAsia" w:ascii="仿宋_GB2312" w:hAnsi="宋体" w:eastAsia="仿宋_GB2312" w:cs="宋体"/>
          <w:kern w:val="0"/>
          <w:sz w:val="32"/>
          <w:szCs w:val="32"/>
          <w:lang w:eastAsia="zh-CN"/>
        </w:rPr>
        <w:t>第十五届人大常委会第十次会议《关于同意将县级粮食储备费用纳入县财政预算的决定》</w:t>
      </w:r>
      <w:r>
        <w:rPr>
          <w:rFonts w:hint="eastAsia" w:ascii="仿宋_GB2312" w:hAnsi="宋体" w:eastAsia="仿宋_GB2312" w:cs="宋体"/>
          <w:kern w:val="0"/>
          <w:sz w:val="32"/>
          <w:szCs w:val="32"/>
          <w:lang w:val="en-US" w:eastAsia="zh-CN"/>
        </w:rPr>
        <w:t>审议决定，预算费用标准按照就高不就低原则参考怀化市其他县市区制定，</w:t>
      </w:r>
      <w:r>
        <w:rPr>
          <w:rFonts w:hint="eastAsia" w:ascii="仿宋_GB2312" w:hAnsi="宋体" w:eastAsia="仿宋_GB2312" w:cs="宋体"/>
          <w:kern w:val="0"/>
          <w:sz w:val="32"/>
          <w:szCs w:val="32"/>
          <w:lang w:eastAsia="zh-CN"/>
        </w:rPr>
        <w:t>项目预算及预期绩效目标</w:t>
      </w:r>
      <w:r>
        <w:rPr>
          <w:rFonts w:hint="eastAsia" w:ascii="仿宋_GB2312" w:hAnsi="宋体" w:eastAsia="仿宋_GB2312" w:cs="宋体"/>
          <w:kern w:val="0"/>
          <w:sz w:val="32"/>
          <w:szCs w:val="32"/>
          <w:lang w:val="en-US" w:eastAsia="zh-CN"/>
        </w:rPr>
        <w:t>编制科学合理。预算执行率100%。</w:t>
      </w:r>
    </w:p>
    <w:p w14:paraId="63565F05">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项目过程情况。</w:t>
      </w:r>
    </w:p>
    <w:p w14:paraId="0AEF507C">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仿宋_GB2312" w:hAnsi="宋体" w:eastAsia="仿宋_GB2312" w:cs="仿宋_GB2312"/>
          <w:i w:val="0"/>
          <w:iCs w:val="0"/>
          <w:caps w:val="0"/>
          <w:color w:val="000000"/>
          <w:spacing w:val="0"/>
          <w:sz w:val="31"/>
          <w:szCs w:val="31"/>
          <w:shd w:val="clear" w:fill="FFFFFF"/>
          <w:lang w:val="en-US" w:eastAsia="zh-CN"/>
        </w:rPr>
      </w:pPr>
      <w:r>
        <w:rPr>
          <w:rFonts w:hint="eastAsia" w:ascii="仿宋_GB2312" w:hAnsi="仿宋_GB2312" w:eastAsia="仿宋_GB2312" w:cs="仿宋_GB2312"/>
          <w:color w:val="000000"/>
          <w:sz w:val="32"/>
          <w:szCs w:val="32"/>
          <w:lang w:val="en-US" w:eastAsia="zh-CN"/>
        </w:rPr>
        <w:t>建立健全项目管理制度，深入研究《政府储备粮食仓储管理办法》《粮食流通管理条例》《粮油仓储管理办法》《国有粮油仓储物流设施保护办法》等一系列政策文件，制定出台《粮食质量安全档案制度》等6项安全生产制度，建立完善《储备粮轮换制度》等4项</w:t>
      </w:r>
      <w:r>
        <w:rPr>
          <w:rFonts w:hint="default" w:ascii="仿宋_GB2312" w:hAnsi="仿宋_GB2312" w:eastAsia="仿宋_GB2312" w:cs="仿宋_GB2312"/>
          <w:color w:val="000000"/>
          <w:sz w:val="32"/>
          <w:szCs w:val="32"/>
          <w:lang w:val="en-US" w:eastAsia="zh-CN"/>
        </w:rPr>
        <w:t>现代企业制度和《</w:t>
      </w:r>
      <w:r>
        <w:rPr>
          <w:rFonts w:hint="eastAsia" w:ascii="仿宋_GB2312" w:hAnsi="仿宋_GB2312" w:eastAsia="仿宋_GB2312" w:cs="仿宋_GB2312"/>
          <w:color w:val="000000"/>
          <w:sz w:val="32"/>
          <w:szCs w:val="32"/>
          <w:lang w:val="en-US" w:eastAsia="zh-CN"/>
        </w:rPr>
        <w:t>财务管理</w:t>
      </w:r>
      <w:r>
        <w:rPr>
          <w:rFonts w:hint="default" w:ascii="仿宋_GB2312" w:hAnsi="仿宋_GB2312" w:eastAsia="仿宋_GB2312" w:cs="仿宋_GB2312"/>
          <w:color w:val="000000"/>
          <w:sz w:val="32"/>
          <w:szCs w:val="32"/>
          <w:lang w:val="en-US" w:eastAsia="zh-CN"/>
        </w:rPr>
        <w:t>制度》等</w:t>
      </w:r>
      <w:r>
        <w:rPr>
          <w:rFonts w:hint="eastAsia" w:ascii="仿宋_GB2312" w:hAnsi="仿宋_GB2312" w:eastAsia="仿宋_GB2312" w:cs="仿宋_GB2312"/>
          <w:color w:val="000000"/>
          <w:sz w:val="32"/>
          <w:szCs w:val="32"/>
          <w:lang w:val="en-US" w:eastAsia="zh-CN"/>
        </w:rPr>
        <w:t>5项</w:t>
      </w:r>
      <w:r>
        <w:rPr>
          <w:rFonts w:hint="default" w:ascii="仿宋_GB2312" w:hAnsi="仿宋_GB2312" w:eastAsia="仿宋_GB2312" w:cs="仿宋_GB2312"/>
          <w:color w:val="000000"/>
          <w:sz w:val="32"/>
          <w:szCs w:val="32"/>
          <w:lang w:val="en-US" w:eastAsia="zh-CN"/>
        </w:rPr>
        <w:t>内控制度</w:t>
      </w:r>
      <w:r>
        <w:rPr>
          <w:rFonts w:hint="eastAsia" w:ascii="仿宋_GB2312" w:hAnsi="仿宋_GB2312" w:eastAsia="仿宋_GB2312" w:cs="仿宋_GB2312"/>
          <w:color w:val="000000"/>
          <w:sz w:val="32"/>
          <w:szCs w:val="32"/>
          <w:lang w:val="en-US" w:eastAsia="zh-CN"/>
        </w:rPr>
        <w:t>，进一步</w:t>
      </w:r>
      <w:r>
        <w:rPr>
          <w:rFonts w:ascii="仿宋_GB2312" w:hAnsi="宋体" w:eastAsia="仿宋_GB2312" w:cs="仿宋_GB2312"/>
          <w:i w:val="0"/>
          <w:iCs w:val="0"/>
          <w:caps w:val="0"/>
          <w:color w:val="000000"/>
          <w:spacing w:val="0"/>
          <w:sz w:val="31"/>
          <w:szCs w:val="31"/>
          <w:shd w:val="clear" w:fill="FFFFFF"/>
        </w:rPr>
        <w:t>规范企业内部管理</w:t>
      </w:r>
      <w:r>
        <w:rPr>
          <w:rFonts w:hint="eastAsia" w:ascii="仿宋_GB2312" w:hAnsi="宋体" w:eastAsia="仿宋_GB2312" w:cs="仿宋_GB2312"/>
          <w:i w:val="0"/>
          <w:iCs w:val="0"/>
          <w:caps w:val="0"/>
          <w:color w:val="000000"/>
          <w:spacing w:val="0"/>
          <w:sz w:val="31"/>
          <w:szCs w:val="31"/>
          <w:shd w:val="clear" w:fill="FFFFFF"/>
          <w:lang w:eastAsia="zh-CN"/>
        </w:rPr>
        <w:t>，</w:t>
      </w:r>
      <w:r>
        <w:rPr>
          <w:rFonts w:hint="eastAsia" w:ascii="仿宋_GB2312" w:hAnsi="宋体" w:eastAsia="仿宋_GB2312" w:cs="仿宋_GB2312"/>
          <w:i w:val="0"/>
          <w:iCs w:val="0"/>
          <w:caps w:val="0"/>
          <w:color w:val="000000"/>
          <w:spacing w:val="0"/>
          <w:sz w:val="31"/>
          <w:szCs w:val="31"/>
          <w:shd w:val="clear" w:fill="FFFFFF"/>
          <w:lang w:val="en-US" w:eastAsia="zh-CN"/>
        </w:rPr>
        <w:t>做到以制度管事管人</w:t>
      </w:r>
      <w:r>
        <w:rPr>
          <w:rFonts w:hint="eastAsia" w:ascii="仿宋" w:hAnsi="仿宋" w:eastAsia="仿宋" w:cs="仿宋"/>
          <w:b w:val="0"/>
          <w:bCs w:val="0"/>
          <w:kern w:val="2"/>
          <w:sz w:val="32"/>
          <w:szCs w:val="32"/>
          <w:lang w:val="en-US" w:eastAsia="zh-CN" w:bidi="ar-SA"/>
        </w:rPr>
        <w:t>。严格执行项目管理制度，按照国家相关法律法规规定，</w:t>
      </w:r>
      <w:r>
        <w:rPr>
          <w:rFonts w:hint="eastAsia" w:ascii="仿宋_GB2312" w:hAnsi="宋体" w:eastAsia="仿宋_GB2312" w:cs="仿宋_GB2312"/>
          <w:i w:val="0"/>
          <w:iCs w:val="0"/>
          <w:caps w:val="0"/>
          <w:color w:val="000000"/>
          <w:spacing w:val="0"/>
          <w:sz w:val="31"/>
          <w:szCs w:val="31"/>
          <w:shd w:val="clear" w:fill="FFFFFF"/>
          <w:lang w:val="en-US" w:eastAsia="zh-CN"/>
        </w:rPr>
        <w:t>采用公开招标方式，采购170吨大米，成交价为74.29万元。资金支出合理合规，没有出现超出项目预算范围，与本项目预算不相符、无关或不符合国家财经法规和财务管理制度以及专项资金管理办法等规定的支出。</w:t>
      </w:r>
    </w:p>
    <w:p w14:paraId="2AD81A36">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2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hAnsi="宋体" w:eastAsia="仿宋_GB2312" w:cs="仿宋_GB2312"/>
          <w:i w:val="0"/>
          <w:iCs w:val="0"/>
          <w:caps w:val="0"/>
          <w:color w:val="000000"/>
          <w:spacing w:val="0"/>
          <w:sz w:val="31"/>
          <w:szCs w:val="31"/>
          <w:shd w:val="clear" w:fill="FFFFFF"/>
          <w:lang w:val="en-US" w:eastAsia="zh-CN"/>
        </w:rPr>
        <w:t>项</w:t>
      </w:r>
      <w:r>
        <w:rPr>
          <w:rFonts w:hint="eastAsia" w:ascii="仿宋_GB2312" w:eastAsia="仿宋_GB2312" w:cs="Times New Roman"/>
          <w:color w:val="000000" w:themeColor="text1"/>
          <w:sz w:val="32"/>
          <w:szCs w:val="32"/>
          <w:lang w:val="en-US" w:eastAsia="zh-CN"/>
          <w14:textFill>
            <w14:solidFill>
              <w14:schemeClr w14:val="tx1"/>
            </w14:solidFill>
          </w14:textFill>
        </w:rPr>
        <w:t>目产出情况。</w:t>
      </w:r>
    </w:p>
    <w:p w14:paraId="3C9B9FF9">
      <w:pPr>
        <w:keepNext w:val="0"/>
        <w:keepLines w:val="0"/>
        <w:pageBreakBefore w:val="0"/>
        <w:numPr>
          <w:ilvl w:val="0"/>
          <w:numId w:val="0"/>
        </w:numPr>
        <w:kinsoku/>
        <w:wordWrap/>
        <w:overflowPunct/>
        <w:topLinePunct w:val="0"/>
        <w:autoSpaceDE/>
        <w:autoSpaceDN/>
        <w:bidi w:val="0"/>
        <w:adjustRightInd/>
        <w:snapToGrid/>
        <w:spacing w:line="620" w:lineRule="exact"/>
        <w:ind w:leftChars="200"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全面完成170吨县级应急成品粮代储任务。</w:t>
      </w:r>
    </w:p>
    <w:p w14:paraId="55291B77">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项目效益情况。</w:t>
      </w:r>
    </w:p>
    <w:p w14:paraId="6C580A26">
      <w:pPr>
        <w:keepNext w:val="0"/>
        <w:keepLines w:val="0"/>
        <w:pageBreakBefore w:val="0"/>
        <w:numPr>
          <w:ilvl w:val="0"/>
          <w:numId w:val="0"/>
        </w:numPr>
        <w:kinsoku/>
        <w:wordWrap/>
        <w:overflowPunct/>
        <w:topLinePunct w:val="0"/>
        <w:autoSpaceDE/>
        <w:autoSpaceDN/>
        <w:bidi w:val="0"/>
        <w:adjustRightInd/>
        <w:snapToGrid/>
        <w:spacing w:line="620" w:lineRule="exact"/>
        <w:ind w:leftChars="200" w:firstLine="640" w:firstLineChars="200"/>
        <w:textAlignment w:val="auto"/>
        <w:rPr>
          <w:rFonts w:hint="default" w:ascii="仿宋_GB2312" w:hAnsi="宋体" w:eastAsia="仿宋_GB2312" w:cs="宋体"/>
          <w:kern w:val="0"/>
          <w:sz w:val="32"/>
          <w:szCs w:val="32"/>
          <w:lang w:val="en-US" w:eastAsia="zh-CN"/>
        </w:rPr>
      </w:pPr>
      <w:r>
        <w:rPr>
          <w:rFonts w:hint="eastAsia" w:ascii="仿宋_GB2312" w:eastAsia="仿宋_GB2312"/>
          <w:color w:val="auto"/>
          <w:kern w:val="0"/>
          <w:sz w:val="32"/>
          <w:szCs w:val="32"/>
          <w:lang w:val="en-US" w:eastAsia="zh-CN"/>
        </w:rPr>
        <w:t>实国家粮食安全政策，专仓存放、定期轮换，</w:t>
      </w:r>
      <w:r>
        <w:rPr>
          <w:rFonts w:hint="eastAsia" w:ascii="仿宋_GB2312" w:eastAsia="仿宋_GB2312" w:cs="Times New Roman"/>
          <w:color w:val="000000" w:themeColor="text1"/>
          <w:sz w:val="32"/>
          <w:szCs w:val="32"/>
          <w:lang w:val="en-US" w:eastAsia="zh-CN"/>
          <w14:textFill>
            <w14:solidFill>
              <w14:schemeClr w14:val="tx1"/>
            </w14:solidFill>
          </w14:textFill>
        </w:rPr>
        <w:t>应急成品粮管理规范有序，</w:t>
      </w:r>
      <w:r>
        <w:rPr>
          <w:rFonts w:hint="eastAsia" w:ascii="仿宋_GB2312" w:eastAsia="仿宋_GB2312"/>
          <w:color w:val="auto"/>
          <w:kern w:val="0"/>
          <w:sz w:val="32"/>
          <w:szCs w:val="32"/>
          <w:lang w:val="en-US" w:eastAsia="zh-CN"/>
        </w:rPr>
        <w:t>确保粮食市场供应基本稳定，</w:t>
      </w:r>
      <w:r>
        <w:rPr>
          <w:rFonts w:hint="eastAsia" w:ascii="仿宋_GB2312" w:eastAsia="仿宋_GB2312" w:cs="Times New Roman"/>
          <w:color w:val="000000" w:themeColor="text1"/>
          <w:sz w:val="32"/>
          <w:szCs w:val="32"/>
          <w:lang w:val="en-US" w:eastAsia="zh-CN"/>
          <w14:textFill>
            <w14:solidFill>
              <w14:schemeClr w14:val="tx1"/>
            </w14:solidFill>
          </w14:textFill>
        </w:rPr>
        <w:t>达到项目预期绩效目标。</w:t>
      </w:r>
    </w:p>
    <w:p w14:paraId="02CCD8AD">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主要经验及做法、存在的问题及原因分析</w:t>
      </w:r>
    </w:p>
    <w:p w14:paraId="5761E36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1、基本经验及主要做法</w:t>
      </w:r>
    </w:p>
    <w:p w14:paraId="1F944922">
      <w:pPr>
        <w:spacing w:line="560" w:lineRule="exact"/>
        <w:ind w:left="0" w:firstLine="640" w:firstLineChars="200"/>
        <w:jc w:val="left"/>
        <w:textAlignment w:val="bottom"/>
        <w:rPr>
          <w:rFonts w:hint="eastAsia" w:ascii="仿宋_GB2312" w:eastAsia="仿宋_GB2312"/>
          <w:color w:val="000000"/>
          <w:sz w:val="32"/>
          <w:szCs w:val="32"/>
          <w:lang w:eastAsia="zh-CN"/>
        </w:rPr>
      </w:pPr>
      <w:r>
        <w:rPr>
          <w:rFonts w:hint="eastAsia" w:ascii="仿宋_GB2312" w:hAnsi="宋体" w:eastAsia="仿宋_GB2312" w:cs="宋体"/>
          <w:color w:val="000000"/>
          <w:kern w:val="0"/>
          <w:sz w:val="32"/>
          <w:szCs w:val="32"/>
          <w:shd w:val="clear" w:color="auto" w:fill="FFFFFF"/>
        </w:rPr>
        <w:t>从粮食储管来看，</w:t>
      </w:r>
      <w:r>
        <w:rPr>
          <w:rFonts w:hint="eastAsia" w:ascii="仿宋_GB2312" w:eastAsia="仿宋_GB2312"/>
          <w:color w:val="000000"/>
          <w:sz w:val="32"/>
          <w:szCs w:val="32"/>
        </w:rPr>
        <w:t>严格按照国家粮食储存管理办法进行管理，做到了专人、专仓、专帐管理</w:t>
      </w:r>
      <w:r>
        <w:rPr>
          <w:rFonts w:hint="eastAsia" w:ascii="仿宋_GB2312" w:eastAsia="仿宋_GB2312"/>
          <w:color w:val="000000"/>
          <w:sz w:val="32"/>
          <w:szCs w:val="32"/>
          <w:lang w:eastAsia="zh-CN"/>
        </w:rPr>
        <w:t>，在保证日常开支的情况下对储备库的入出库系统、粮温检测设备系统进行了维护。</w:t>
      </w:r>
    </w:p>
    <w:p w14:paraId="1AD42343">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2、存在的问题及原因分析</w:t>
      </w:r>
    </w:p>
    <w:p w14:paraId="6E4225EC">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由于县财政资金紧张，不能及时安排资金的使用。</w:t>
      </w:r>
    </w:p>
    <w:p w14:paraId="1DE4FFED">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有关建议</w:t>
      </w:r>
    </w:p>
    <w:p w14:paraId="14BE4863">
      <w:pPr>
        <w:spacing w:line="600" w:lineRule="exact"/>
        <w:ind w:firstLine="640" w:firstLineChars="200"/>
        <w:rPr>
          <w:rFonts w:hint="default" w:ascii="仿宋_GB2312" w:eastAsia="仿宋_GB2312"/>
          <w:kern w:val="0"/>
          <w:sz w:val="32"/>
          <w:szCs w:val="32"/>
          <w:lang w:val="en-US" w:eastAsia="zh-CN"/>
        </w:rPr>
      </w:pPr>
      <w:r>
        <w:rPr>
          <w:rFonts w:hint="eastAsia" w:ascii="仿宋_GB2312" w:eastAsia="仿宋_GB2312"/>
          <w:kern w:val="0"/>
          <w:sz w:val="32"/>
          <w:szCs w:val="32"/>
          <w:lang w:val="en-US" w:eastAsia="zh-CN"/>
        </w:rPr>
        <w:t>加大对项目资金预算执行的管理，</w:t>
      </w:r>
      <w:r>
        <w:rPr>
          <w:rFonts w:hint="eastAsia" w:ascii="仿宋_GB2312" w:eastAsia="仿宋_GB2312"/>
          <w:sz w:val="32"/>
          <w:szCs w:val="32"/>
          <w:lang w:eastAsia="zh-CN"/>
        </w:rPr>
        <w:t>资金贯穿更好让成品粮管理工作不脱节，严格做到安全绿色储粮。</w:t>
      </w:r>
    </w:p>
    <w:p w14:paraId="2A40BF85">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其他需要说明的问题</w:t>
      </w:r>
    </w:p>
    <w:p w14:paraId="3B156D4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val="0"/>
          <w:bCs/>
          <w:sz w:val="28"/>
          <w:szCs w:val="28"/>
          <w:lang w:val="en-US" w:eastAsia="zh-CN"/>
        </w:rPr>
      </w:pPr>
      <w:r>
        <w:rPr>
          <w:rFonts w:hint="eastAsia" w:asciiTheme="minorEastAsia" w:hAnsiTheme="minorEastAsia" w:eastAsiaTheme="minorEastAsia" w:cstheme="minorEastAsia"/>
          <w:b/>
          <w:sz w:val="28"/>
          <w:szCs w:val="28"/>
          <w:lang w:val="en-US" w:eastAsia="zh-CN"/>
        </w:rPr>
        <w:t xml:space="preserve">  </w:t>
      </w:r>
      <w:r>
        <w:rPr>
          <w:rFonts w:hint="eastAsia" w:asciiTheme="minorEastAsia" w:hAnsiTheme="minorEastAsia" w:eastAsiaTheme="minorEastAsia" w:cstheme="minorEastAsia"/>
          <w:b w:val="0"/>
          <w:bCs/>
          <w:sz w:val="28"/>
          <w:szCs w:val="28"/>
          <w:lang w:val="en-US" w:eastAsia="zh-CN"/>
        </w:rPr>
        <w:t xml:space="preserve">  </w:t>
      </w:r>
      <w:r>
        <w:rPr>
          <w:rFonts w:hint="eastAsia" w:ascii="仿宋_GB2312" w:eastAsia="仿宋_GB2312"/>
          <w:kern w:val="0"/>
          <w:sz w:val="32"/>
          <w:szCs w:val="32"/>
          <w:lang w:val="en-US" w:eastAsia="zh-CN"/>
        </w:rPr>
        <w:t xml:space="preserve"> 无</w:t>
      </w:r>
    </w:p>
    <w:p w14:paraId="272FB24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14:paraId="467F14F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14:paraId="6B367ED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14:paraId="7479B70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14:paraId="468BBE5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14:paraId="54E47493">
      <w:pPr>
        <w:spacing w:line="560" w:lineRule="exact"/>
        <w:ind w:left="0" w:firstLine="640" w:firstLineChars="200"/>
        <w:jc w:val="righ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         新晃县发展和改革局                      2025年3月10</w:t>
      </w:r>
      <w:bookmarkStart w:id="0" w:name="_GoBack"/>
      <w:bookmarkEnd w:id="0"/>
      <w:r>
        <w:rPr>
          <w:rFonts w:hint="eastAsia" w:ascii="仿宋_GB2312" w:eastAsia="仿宋_GB2312"/>
          <w:kern w:val="0"/>
          <w:sz w:val="32"/>
          <w:szCs w:val="32"/>
          <w:lang w:val="en-US" w:eastAsia="zh-CN"/>
        </w:rPr>
        <w:t>日</w:t>
      </w:r>
    </w:p>
    <w:p w14:paraId="5F928E10">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                            </w:t>
      </w:r>
    </w:p>
    <w:sectPr>
      <w:headerReference r:id="rId3" w:type="default"/>
      <w:footerReference r:id="rId4" w:type="default"/>
      <w:footerReference r:id="rId5" w:type="even"/>
      <w:pgSz w:w="11906" w:h="16838"/>
      <w:pgMar w:top="1701" w:right="1417" w:bottom="1134" w:left="1531" w:header="851" w:footer="1134"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3DFE3">
    <w:pPr>
      <w:pStyle w:val="2"/>
      <w:framePr w:wrap="around" w:vAnchor="text" w:hAnchor="margin" w:xAlign="right" w:y="1"/>
      <w:rPr>
        <w:rStyle w:val="7"/>
      </w:rPr>
    </w:pPr>
    <w:r>
      <w:fldChar w:fldCharType="begin"/>
    </w:r>
    <w:r>
      <w:rPr>
        <w:rStyle w:val="7"/>
      </w:rPr>
      <w:instrText xml:space="preserve">PAGE  </w:instrText>
    </w:r>
    <w:r>
      <w:fldChar w:fldCharType="separate"/>
    </w:r>
    <w:r>
      <w:rPr>
        <w:rStyle w:val="7"/>
      </w:rPr>
      <w:t>4</w:t>
    </w:r>
    <w:r>
      <w:fldChar w:fldCharType="end"/>
    </w:r>
  </w:p>
  <w:p w14:paraId="07FE3F70">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98A15">
    <w:pPr>
      <w:pStyle w:val="2"/>
      <w:framePr w:wrap="around" w:vAnchor="text" w:hAnchor="margin" w:xAlign="right" w:y="1"/>
      <w:rPr>
        <w:rStyle w:val="7"/>
      </w:rPr>
    </w:pPr>
    <w:r>
      <w:fldChar w:fldCharType="begin"/>
    </w:r>
    <w:r>
      <w:rPr>
        <w:rStyle w:val="7"/>
      </w:rPr>
      <w:instrText xml:space="preserve">PAGE  </w:instrText>
    </w:r>
    <w:r>
      <w:fldChar w:fldCharType="end"/>
    </w:r>
  </w:p>
  <w:p w14:paraId="0EC11CE8">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DAA4A">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AF5D59"/>
    <w:multiLevelType w:val="singleLevel"/>
    <w:tmpl w:val="A2AF5D59"/>
    <w:lvl w:ilvl="0" w:tentative="0">
      <w:start w:val="4"/>
      <w:numFmt w:val="chineseCounting"/>
      <w:suff w:val="nothing"/>
      <w:lvlText w:val="%1、"/>
      <w:lvlJc w:val="left"/>
      <w:rPr>
        <w:rFonts w:hint="eastAsia"/>
      </w:rPr>
    </w:lvl>
  </w:abstractNum>
  <w:abstractNum w:abstractNumId="1">
    <w:nsid w:val="00783A2F"/>
    <w:multiLevelType w:val="singleLevel"/>
    <w:tmpl w:val="00783A2F"/>
    <w:lvl w:ilvl="0" w:tentative="0">
      <w:start w:val="5"/>
      <w:numFmt w:val="chineseCounting"/>
      <w:suff w:val="nothing"/>
      <w:lvlText w:val="%1、"/>
      <w:lvlJc w:val="left"/>
      <w:rPr>
        <w:rFonts w:hint="eastAsia"/>
      </w:rPr>
    </w:lvl>
  </w:abstractNum>
  <w:abstractNum w:abstractNumId="2">
    <w:nsid w:val="1F1C7BD0"/>
    <w:multiLevelType w:val="singleLevel"/>
    <w:tmpl w:val="1F1C7BD0"/>
    <w:lvl w:ilvl="0" w:tentative="0">
      <w:start w:val="1"/>
      <w:numFmt w:val="chineseCounting"/>
      <w:lvlText w:val="(%1)"/>
      <w:lvlJc w:val="left"/>
      <w:pPr>
        <w:tabs>
          <w:tab w:val="left" w:pos="312"/>
        </w:tabs>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4OTVmMDU1OTE1MGY2MTI1NTk2MTNhNTc0ZmEyOWQifQ=="/>
  </w:docVars>
  <w:rsids>
    <w:rsidRoot w:val="00000000"/>
    <w:rsid w:val="00556F24"/>
    <w:rsid w:val="00BE546D"/>
    <w:rsid w:val="01B85F94"/>
    <w:rsid w:val="0305373E"/>
    <w:rsid w:val="03413725"/>
    <w:rsid w:val="03A51014"/>
    <w:rsid w:val="040954C6"/>
    <w:rsid w:val="040E741B"/>
    <w:rsid w:val="05895519"/>
    <w:rsid w:val="05C54482"/>
    <w:rsid w:val="06837551"/>
    <w:rsid w:val="0692167B"/>
    <w:rsid w:val="071222C3"/>
    <w:rsid w:val="07BE0D9E"/>
    <w:rsid w:val="08300D8C"/>
    <w:rsid w:val="08777BCA"/>
    <w:rsid w:val="08E1238F"/>
    <w:rsid w:val="08E13472"/>
    <w:rsid w:val="08EE2941"/>
    <w:rsid w:val="09E54C2D"/>
    <w:rsid w:val="0C600D17"/>
    <w:rsid w:val="10725EA8"/>
    <w:rsid w:val="108408CE"/>
    <w:rsid w:val="110E5BD1"/>
    <w:rsid w:val="1258501C"/>
    <w:rsid w:val="13110086"/>
    <w:rsid w:val="132536A6"/>
    <w:rsid w:val="13C24A51"/>
    <w:rsid w:val="14C01D8E"/>
    <w:rsid w:val="15A837DD"/>
    <w:rsid w:val="16D72F09"/>
    <w:rsid w:val="17951DB5"/>
    <w:rsid w:val="17F04282"/>
    <w:rsid w:val="180B5092"/>
    <w:rsid w:val="1A3F113F"/>
    <w:rsid w:val="1B3E564B"/>
    <w:rsid w:val="1B546A59"/>
    <w:rsid w:val="1BF939F1"/>
    <w:rsid w:val="1C142509"/>
    <w:rsid w:val="1D752CBF"/>
    <w:rsid w:val="1F3F33F9"/>
    <w:rsid w:val="20E73D48"/>
    <w:rsid w:val="21521F59"/>
    <w:rsid w:val="21A70A52"/>
    <w:rsid w:val="2226591A"/>
    <w:rsid w:val="235C6C70"/>
    <w:rsid w:val="238166D6"/>
    <w:rsid w:val="24776BBA"/>
    <w:rsid w:val="24963579"/>
    <w:rsid w:val="252527DE"/>
    <w:rsid w:val="26431A21"/>
    <w:rsid w:val="27037065"/>
    <w:rsid w:val="278D7BBD"/>
    <w:rsid w:val="28352B49"/>
    <w:rsid w:val="2BB40476"/>
    <w:rsid w:val="2CF504FC"/>
    <w:rsid w:val="2EFC1307"/>
    <w:rsid w:val="2FF375E5"/>
    <w:rsid w:val="30D81136"/>
    <w:rsid w:val="311C7A3E"/>
    <w:rsid w:val="31755B9A"/>
    <w:rsid w:val="31AC6D75"/>
    <w:rsid w:val="32087FC3"/>
    <w:rsid w:val="33B57CD6"/>
    <w:rsid w:val="33D20888"/>
    <w:rsid w:val="33ED3288"/>
    <w:rsid w:val="37184804"/>
    <w:rsid w:val="378660C8"/>
    <w:rsid w:val="381417C1"/>
    <w:rsid w:val="39B8655F"/>
    <w:rsid w:val="3D427DDA"/>
    <w:rsid w:val="3DE14746"/>
    <w:rsid w:val="3E8F40F8"/>
    <w:rsid w:val="3FD634AE"/>
    <w:rsid w:val="40D43E92"/>
    <w:rsid w:val="40ED4F53"/>
    <w:rsid w:val="41562AF9"/>
    <w:rsid w:val="41B17D2F"/>
    <w:rsid w:val="41D94293"/>
    <w:rsid w:val="42730039"/>
    <w:rsid w:val="43D060FC"/>
    <w:rsid w:val="46447925"/>
    <w:rsid w:val="46B502C1"/>
    <w:rsid w:val="47C6205A"/>
    <w:rsid w:val="4846162B"/>
    <w:rsid w:val="49697141"/>
    <w:rsid w:val="49B91A00"/>
    <w:rsid w:val="4A02381D"/>
    <w:rsid w:val="4ABD7C9A"/>
    <w:rsid w:val="4B265E50"/>
    <w:rsid w:val="4BC863A1"/>
    <w:rsid w:val="4C9253A0"/>
    <w:rsid w:val="4CB87B2E"/>
    <w:rsid w:val="4CEC2563"/>
    <w:rsid w:val="4EB9402F"/>
    <w:rsid w:val="4EC5306C"/>
    <w:rsid w:val="4F8B6063"/>
    <w:rsid w:val="4FD572DE"/>
    <w:rsid w:val="506F7733"/>
    <w:rsid w:val="513840F1"/>
    <w:rsid w:val="51D627D2"/>
    <w:rsid w:val="52554706"/>
    <w:rsid w:val="54212EDF"/>
    <w:rsid w:val="552019FD"/>
    <w:rsid w:val="55DB1F32"/>
    <w:rsid w:val="57C22DA3"/>
    <w:rsid w:val="597E2AE2"/>
    <w:rsid w:val="5BCD1B1C"/>
    <w:rsid w:val="5E36034D"/>
    <w:rsid w:val="5E541D16"/>
    <w:rsid w:val="60157FFC"/>
    <w:rsid w:val="60450E07"/>
    <w:rsid w:val="6106379C"/>
    <w:rsid w:val="618A0ACD"/>
    <w:rsid w:val="619E0305"/>
    <w:rsid w:val="62B56ACB"/>
    <w:rsid w:val="6562740E"/>
    <w:rsid w:val="656C5B97"/>
    <w:rsid w:val="657D5FF6"/>
    <w:rsid w:val="6642453E"/>
    <w:rsid w:val="66CD2666"/>
    <w:rsid w:val="6766615B"/>
    <w:rsid w:val="69796B50"/>
    <w:rsid w:val="6B011DD2"/>
    <w:rsid w:val="6C534923"/>
    <w:rsid w:val="6D2A2067"/>
    <w:rsid w:val="6D7F34F7"/>
    <w:rsid w:val="6E285A6F"/>
    <w:rsid w:val="6EE113A4"/>
    <w:rsid w:val="6EEA079B"/>
    <w:rsid w:val="6FBC4819"/>
    <w:rsid w:val="6FE06795"/>
    <w:rsid w:val="71762326"/>
    <w:rsid w:val="72AD15C9"/>
    <w:rsid w:val="72B60575"/>
    <w:rsid w:val="72BC4A82"/>
    <w:rsid w:val="75093403"/>
    <w:rsid w:val="760442A1"/>
    <w:rsid w:val="767D26DE"/>
    <w:rsid w:val="77983551"/>
    <w:rsid w:val="77E65C7D"/>
    <w:rsid w:val="783E1615"/>
    <w:rsid w:val="79982045"/>
    <w:rsid w:val="7D3C5FEB"/>
    <w:rsid w:val="7D425704"/>
    <w:rsid w:val="7F322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7">
    <w:name w:val="page number"/>
    <w:basedOn w:val="6"/>
    <w:qFormat/>
    <w:uiPriority w:val="0"/>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1597</Words>
  <Characters>1652</Characters>
  <Lines>0</Lines>
  <Paragraphs>0</Paragraphs>
  <TotalTime>11</TotalTime>
  <ScaleCrop>false</ScaleCrop>
  <LinksUpToDate>false</LinksUpToDate>
  <CharactersWithSpaces>1717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2020-10-26T04:56:00Z</dcterms:created>
  <dc:creator>Administrator</dc:creator>
  <cp:lastModifiedBy>lenovo</cp:lastModifiedBy>
  <cp:lastPrinted>2024-04-10T08:25:00Z</cp:lastPrinted>
  <dcterms:modified xsi:type="dcterms:W3CDTF">2025-03-20T09:44:57Z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8A8302B5F5A944499F12F33A5CE02236_13</vt:lpwstr>
  </property>
  <property fmtid="{D5CDD505-2E9C-101B-9397-08002B2CF9AE}" pid="4" name="KSOTemplateDocerSaveRecord">
    <vt:lpwstr>eyJoZGlkIjoiYjUyMTYzMDBiOWIzNTEyNTNiYTAwNjEwZTBkNDU5YTAifQ==</vt:lpwstr>
  </property>
</Properties>
</file>